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10980</w:t>
      </w:r>
      <w:bookmarkStart w:id="9" w:name="_GoBack"/>
      <w:bookmarkEnd w:id="9"/>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Rel-19 ATG demodulation requirements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7.8.7</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#106 meeting, the revised WID of enhancements for Air-to-ground network for NR was approved in [1], the objectives related to enhanced ATG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sz w:val="21"/>
                <w:szCs w:val="21"/>
                <w:lang w:eastAsia="zh-CN"/>
              </w:rPr>
            </w:pPr>
            <w:r>
              <w:rPr>
                <w:rFonts w:hint="eastAsia"/>
                <w:sz w:val="21"/>
                <w:szCs w:val="21"/>
                <w:lang w:eastAsia="zh-CN"/>
              </w:rPr>
              <w:t>T</w:t>
            </w:r>
            <w:r>
              <w:rPr>
                <w:sz w:val="21"/>
                <w:szCs w:val="21"/>
                <w:lang w:eastAsia="zh-CN"/>
              </w:rPr>
              <w:t>he performance part of the work item includes:</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RRM performance and demodulation requirements for intra-band co-located and inter-band co-located DL CA.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demodulation requirements for support of UL MIMO with 2TX for single CC for UE with dual-polarization antenna.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demodulation requirements for support of DL MIMO for UE</w:t>
            </w:r>
            <w:r>
              <w:rPr>
                <w:rFonts w:hint="eastAsia" w:eastAsia="等线"/>
                <w:sz w:val="21"/>
                <w:szCs w:val="21"/>
                <w:lang w:eastAsia="zh-CN"/>
              </w:rPr>
              <w:t xml:space="preserve"> with limited test cases</w:t>
            </w:r>
            <w:r>
              <w:rPr>
                <w:rFonts w:eastAsia="等线"/>
                <w:sz w:val="21"/>
                <w:szCs w:val="21"/>
                <w:lang w:eastAsia="zh-CN"/>
              </w:rPr>
              <w:t>.</w:t>
            </w:r>
          </w:p>
          <w:p>
            <w:pPr>
              <w:pStyle w:val="33"/>
              <w:numPr>
                <w:ilvl w:val="0"/>
                <w:numId w:val="7"/>
              </w:numPr>
              <w:overflowPunct w:val="0"/>
              <w:autoSpaceDE w:val="0"/>
              <w:autoSpaceDN w:val="0"/>
              <w:adjustRightInd w:val="0"/>
              <w:spacing w:after="180"/>
              <w:textAlignment w:val="baseline"/>
              <w:rPr>
                <w:rFonts w:hint="default"/>
                <w:szCs w:val="22"/>
                <w:vertAlign w:val="baseline"/>
                <w:lang w:val="en-US" w:eastAsia="zh-CN"/>
              </w:rPr>
            </w:pPr>
            <w:bookmarkStart w:id="4" w:name="_Hlk183524706"/>
            <w:r>
              <w:rPr>
                <w:rFonts w:eastAsia="等线"/>
                <w:sz w:val="21"/>
                <w:szCs w:val="21"/>
                <w:lang w:eastAsia="zh-CN"/>
              </w:rPr>
              <w:t>Specify conformance testing and conformance requirements for BS.</w:t>
            </w:r>
            <w:bookmarkEnd w:id="4"/>
          </w:p>
        </w:tc>
      </w:tr>
    </w:tbl>
    <w:p>
      <w:pPr>
        <w:spacing w:before="120" w:after="120"/>
        <w:rPr>
          <w:rFonts w:hint="eastAsia"/>
          <w:szCs w:val="22"/>
          <w:lang w:val="en-US" w:eastAsia="zh-CN"/>
        </w:rPr>
      </w:pPr>
      <w:r>
        <w:rPr>
          <w:rFonts w:hint="eastAsia"/>
          <w:szCs w:val="22"/>
          <w:lang w:val="en-US" w:eastAsia="zh-CN"/>
        </w:rPr>
        <w:t xml:space="preserve">In Rel-18, RAN4 defined demodulation requirements for PDSCH under AWGN channel model on FR1 single scenario. However, considering that ATG has the advantage of high throughput, low propagation delay, and low cost application, some operators and the aircraft industry have a strong request for the deployment of ATG. In R19, the following two aspects are considered: </w:t>
      </w:r>
    </w:p>
    <w:p>
      <w:pPr>
        <w:widowControl w:val="0"/>
        <w:numPr>
          <w:ilvl w:val="0"/>
          <w:numId w:val="8"/>
        </w:numPr>
        <w:overflowPunct/>
        <w:autoSpaceDE/>
        <w:autoSpaceDN/>
        <w:adjustRightInd/>
        <w:spacing w:after="0"/>
        <w:textAlignment w:val="auto"/>
        <w:rPr>
          <w:kern w:val="2"/>
          <w:lang w:val="en-US" w:eastAsia="zh-CN"/>
        </w:rPr>
      </w:pPr>
      <w:r>
        <w:rPr>
          <w:kern w:val="2"/>
          <w:lang w:val="en-US" w:eastAsia="zh-CN"/>
        </w:rPr>
        <w:t>Enhance throughput to meet ATG capacity demand</w:t>
      </w:r>
    </w:p>
    <w:p>
      <w:pPr>
        <w:widowControl w:val="0"/>
        <w:numPr>
          <w:ilvl w:val="0"/>
          <w:numId w:val="8"/>
        </w:numPr>
        <w:overflowPunct/>
        <w:autoSpaceDE/>
        <w:autoSpaceDN/>
        <w:adjustRightInd/>
        <w:spacing w:after="0"/>
        <w:textAlignment w:val="auto"/>
        <w:rPr>
          <w:rFonts w:hint="eastAsia"/>
          <w:lang w:val="en-US" w:eastAsia="zh-CN"/>
        </w:rPr>
      </w:pPr>
      <w:r>
        <w:rPr>
          <w:kern w:val="2"/>
          <w:lang w:val="en-US" w:eastAsia="zh-CN"/>
        </w:rPr>
        <w:t>Fully utilize operators’ spectrum especially for the fragment spectrum</w:t>
      </w:r>
    </w:p>
    <w:p>
      <w:pPr>
        <w:spacing w:before="120" w:after="120"/>
        <w:rPr>
          <w:rFonts w:hint="default"/>
          <w:lang w:val="en-US" w:eastAsia="zh-CN"/>
        </w:rPr>
      </w:pPr>
      <w:r>
        <w:rPr>
          <w:rFonts w:hint="eastAsia"/>
          <w:lang w:val="en-US" w:eastAsia="zh-CN"/>
        </w:rPr>
        <w:t xml:space="preserve">In this contribution, we give some initial discussion on the enhanced ATG demodulation requirements according to the last meeting agreements[2].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rFonts w:hint="eastAsia"/>
          <w:b/>
          <w:bCs/>
          <w:i w:val="0"/>
          <w:iCs w:val="0"/>
          <w:szCs w:val="21"/>
          <w:lang w:val="en-US" w:eastAsia="zh-CN"/>
        </w:rPr>
      </w:pPr>
      <w:r>
        <w:rPr>
          <w:rFonts w:hint="eastAsia"/>
          <w:b/>
          <w:bCs/>
          <w:i w:val="0"/>
          <w:iCs w:val="0"/>
          <w:szCs w:val="21"/>
          <w:lang w:val="en-US" w:eastAsia="zh-CN"/>
        </w:rPr>
        <w:t>DL CA requirements</w:t>
      </w:r>
    </w:p>
    <w:p>
      <w:pPr>
        <w:bidi w:val="0"/>
        <w:rPr>
          <w:rFonts w:hint="eastAsia"/>
          <w:b/>
          <w:color w:val="auto"/>
          <w:u w:val="single"/>
          <w:lang w:val="en-US" w:eastAsia="zh-CN"/>
        </w:rPr>
      </w:pPr>
      <w:r>
        <w:rPr>
          <w:rFonts w:hint="eastAsia"/>
          <w:b/>
          <w:color w:val="auto"/>
          <w:u w:val="single"/>
          <w:lang w:val="en-US" w:eastAsia="zh-CN"/>
        </w:rPr>
        <w:t>TDD pattern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b w:val="0"/>
                <w:bCs w:val="0"/>
                <w:color w:val="auto"/>
                <w:szCs w:val="24"/>
                <w:lang w:val="en-US" w:eastAsia="zh-CN"/>
              </w:rPr>
            </w:pPr>
            <w:r>
              <w:rPr>
                <w:rFonts w:hint="eastAsia" w:eastAsia="宋体"/>
                <w:b w:val="0"/>
                <w:bCs w:val="0"/>
                <w:color w:val="auto"/>
                <w:szCs w:val="24"/>
                <w:lang w:val="en-US" w:eastAsia="zh-CN"/>
              </w:rPr>
              <w:t>Option 1: Use the legacy TDD pattern as the starting point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color w:val="auto"/>
                <w:u w:val="single"/>
                <w:vertAlign w:val="baseline"/>
                <w:lang w:val="en-US" w:eastAsia="zh-CN"/>
              </w:rPr>
            </w:pPr>
            <w:r>
              <w:rPr>
                <w:rFonts w:hint="eastAsia" w:eastAsia="宋体"/>
                <w:b w:val="0"/>
                <w:bCs w:val="0"/>
                <w:color w:val="auto"/>
                <w:szCs w:val="24"/>
                <w:lang w:val="en-US" w:eastAsia="zh-CN"/>
              </w:rPr>
              <w:t>Option 2: Define new TDD pattern 30D4S6U for R-19 enhanced ATG DL CA requirement</w:t>
            </w:r>
          </w:p>
        </w:tc>
      </w:tr>
    </w:tbl>
    <w:p>
      <w:pPr>
        <w:bidi w:val="0"/>
        <w:rPr>
          <w:rFonts w:hint="eastAsia"/>
          <w:lang w:val="en-US" w:eastAsia="zh-CN"/>
        </w:rPr>
      </w:pPr>
      <w:r>
        <w:rPr>
          <w:rFonts w:hint="eastAsia"/>
          <w:lang w:val="en-US" w:eastAsia="zh-CN"/>
        </w:rPr>
        <w:t xml:space="preserve">Currently, legacy CA demodulation requirements also follows single CC requirement. From this point of view, we think ATG feature shall follow this rule. </w:t>
      </w:r>
    </w:p>
    <w:p>
      <w:pPr>
        <w:widowControl w:val="0"/>
        <w:numPr>
          <w:ilvl w:val="0"/>
          <w:numId w:val="0"/>
        </w:numPr>
        <w:overflowPunct/>
        <w:autoSpaceDE/>
        <w:autoSpaceDN/>
        <w:adjustRightInd/>
        <w:spacing w:after="0"/>
        <w:textAlignment w:val="auto"/>
        <w:rPr>
          <w:rFonts w:hint="eastAsia"/>
          <w:b/>
          <w:color w:val="auto"/>
          <w:u w:val="single"/>
          <w:lang w:val="en-US" w:eastAsia="zh-CN"/>
        </w:rPr>
      </w:pPr>
      <w:r>
        <w:rPr>
          <w:rFonts w:hint="eastAsia"/>
          <w:b/>
          <w:bCs/>
          <w:i/>
          <w:iCs/>
          <w:szCs w:val="21"/>
          <w:lang w:val="en-US" w:eastAsia="zh-CN"/>
        </w:rPr>
        <w:t>Proposal 1. Propose to define TDD pattern 30D4S6U for R-19 enhanced ATG DL CA requirements.</w:t>
      </w:r>
    </w:p>
    <w:p>
      <w:pPr>
        <w:bidi w:val="0"/>
        <w:rPr>
          <w:rFonts w:hint="eastAsia"/>
          <w:b/>
          <w:color w:val="auto"/>
          <w:u w:val="single"/>
          <w:lang w:val="en-US" w:eastAsia="zh-CN"/>
        </w:rPr>
      </w:pPr>
    </w:p>
    <w:p>
      <w:pPr>
        <w:bidi w:val="0"/>
        <w:rPr>
          <w:rFonts w:hint="eastAsia"/>
          <w:b/>
          <w:color w:val="auto"/>
          <w:u w:val="single"/>
          <w:lang w:val="en-US" w:eastAsia="zh-CN"/>
        </w:rPr>
      </w:pPr>
      <w:r>
        <w:rPr>
          <w:rFonts w:hint="eastAsia"/>
          <w:b/>
          <w:color w:val="auto"/>
          <w:u w:val="single"/>
          <w:lang w:val="en-US" w:eastAsia="zh-CN"/>
        </w:rPr>
        <w:t>Rank</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1: For CA requirement, use Rank 2 as the starting point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color w:val="auto"/>
                <w:u w:val="single"/>
                <w:vertAlign w:val="baseline"/>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2: Only consider Rank 1 for DL CA demodulation requirements</w:t>
            </w:r>
          </w:p>
        </w:tc>
      </w:tr>
    </w:tbl>
    <w:p>
      <w:pPr>
        <w:widowControl w:val="0"/>
        <w:numPr>
          <w:ilvl w:val="0"/>
          <w:numId w:val="0"/>
        </w:numPr>
        <w:overflowPunct/>
        <w:autoSpaceDE/>
        <w:autoSpaceDN/>
        <w:adjustRightInd/>
        <w:spacing w:after="0"/>
        <w:textAlignment w:val="auto"/>
        <w:rPr>
          <w:rFonts w:hint="default" w:ascii="Times New Roman" w:hAnsi="Times New Roman" w:cs="Times New Roman"/>
          <w:bCs/>
          <w:kern w:val="0"/>
          <w:szCs w:val="21"/>
          <w:lang w:val="en-US" w:eastAsia="zh-CN"/>
        </w:rPr>
      </w:pPr>
      <w:r>
        <w:rPr>
          <w:rFonts w:hint="eastAsia" w:ascii="Times New Roman" w:hAnsi="Times New Roman" w:cs="Times New Roman"/>
          <w:bCs/>
          <w:kern w:val="0"/>
          <w:szCs w:val="21"/>
          <w:lang w:val="en-US" w:eastAsia="zh-CN"/>
        </w:rPr>
        <w:t>In legacy CA demodulation requirements, RAN4 only reuses the test parameters from single CC requirements to define CA requirements. Hence, we propose to only consider Rank 1 for DL CA demodulation requirements.</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bCs/>
          <w:i/>
          <w:iCs/>
          <w:szCs w:val="21"/>
          <w:lang w:val="en-US" w:eastAsia="zh-CN"/>
        </w:rPr>
        <w:t>Proposal 2. Propose to only consider Rank 1 for DL CA demodulation requirements.</w:t>
      </w:r>
    </w:p>
    <w:p>
      <w:pPr>
        <w:widowControl w:val="0"/>
        <w:numPr>
          <w:ilvl w:val="0"/>
          <w:numId w:val="0"/>
        </w:numPr>
        <w:overflowPunct/>
        <w:autoSpaceDE/>
        <w:autoSpaceDN/>
        <w:adjustRightInd/>
        <w:spacing w:after="0"/>
        <w:textAlignment w:val="auto"/>
        <w:rPr>
          <w:rFonts w:hint="eastAsia"/>
          <w:b/>
          <w:bCs/>
          <w:i/>
          <w:iCs/>
          <w:szCs w:val="21"/>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val="0"/>
          <w:iCs w:val="0"/>
          <w:kern w:val="2"/>
          <w:sz w:val="21"/>
          <w:szCs w:val="21"/>
          <w:lang w:val="en-US" w:eastAsia="zh-CN" w:bidi="ar-SA"/>
        </w:rPr>
      </w:pPr>
      <w:bookmarkStart w:id="5" w:name="OLE_LINK66"/>
      <w:bookmarkStart w:id="6" w:name="OLE_LINK6"/>
      <w:bookmarkStart w:id="7" w:name="OLE_LINK41"/>
      <w:bookmarkStart w:id="8" w:name="OLE_LINK23"/>
      <w:r>
        <w:rPr>
          <w:rFonts w:hint="eastAsia" w:cs="Times New Roman"/>
          <w:b/>
          <w:bCs/>
          <w:i w:val="0"/>
          <w:iCs w:val="0"/>
          <w:kern w:val="2"/>
          <w:sz w:val="21"/>
          <w:szCs w:val="21"/>
          <w:lang w:val="en-US" w:eastAsia="zh-CN" w:bidi="ar-SA"/>
        </w:rPr>
        <w:t>DL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b/>
          <w:color w:val="auto"/>
          <w:u w:val="single"/>
          <w:lang w:val="en-US" w:eastAsia="zh-CN"/>
        </w:rPr>
      </w:pPr>
      <w:r>
        <w:rPr>
          <w:rFonts w:hint="eastAsia"/>
          <w:b/>
          <w:color w:val="auto"/>
          <w:u w:val="single"/>
          <w:lang w:val="en-US" w:eastAsia="zh-CN"/>
        </w:rPr>
        <w:t>TDD pattern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b/>
                <w:color w:val="auto"/>
                <w:u w:val="single"/>
                <w:vertAlign w:val="baseline"/>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w:t>
            </w:r>
            <w:r>
              <w:rPr>
                <w:rFonts w:eastAsia="宋体"/>
                <w:color w:val="auto"/>
                <w:szCs w:val="24"/>
                <w:lang w:val="en-US" w:eastAsia="zh-CN"/>
              </w:rPr>
              <w:t>1</w:t>
            </w:r>
            <w:r>
              <w:rPr>
                <w:rFonts w:hint="eastAsia" w:eastAsia="宋体"/>
                <w:color w:val="auto"/>
                <w:szCs w:val="24"/>
                <w:lang w:val="en-US" w:eastAsia="zh-CN"/>
              </w:rPr>
              <w:t xml:space="preserve">: </w:t>
            </w:r>
            <w:r>
              <w:rPr>
                <w:rFonts w:hint="eastAsia" w:eastAsia="宋体"/>
                <w:b w:val="0"/>
                <w:bCs w:val="0"/>
                <w:color w:val="auto"/>
                <w:szCs w:val="24"/>
                <w:lang w:val="en-US" w:eastAsia="zh-CN"/>
              </w:rPr>
              <w:t>Use legacy TDD pattern 7DS2U as the starting point.</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Cs/>
          <w:kern w:val="0"/>
          <w:sz w:val="21"/>
          <w:szCs w:val="21"/>
          <w:lang w:val="en-US" w:eastAsia="zh-CN" w:bidi="ar-SA"/>
        </w:rPr>
      </w:pPr>
      <w:r>
        <w:rPr>
          <w:rFonts w:hint="eastAsia" w:cs="Times New Roman"/>
          <w:bCs/>
          <w:kern w:val="0"/>
          <w:sz w:val="21"/>
          <w:szCs w:val="21"/>
          <w:lang w:val="en-US" w:eastAsia="zh-CN" w:bidi="ar-SA"/>
        </w:rPr>
        <w:t xml:space="preserve">Currently, two TDD pattern demodulation requirements are defined in Rel-18. There is reasonable to define two requirements for different patterns. </w:t>
      </w:r>
    </w:p>
    <w:p>
      <w:pPr>
        <w:widowControl w:val="0"/>
        <w:numPr>
          <w:ilvl w:val="0"/>
          <w:numId w:val="0"/>
        </w:numPr>
        <w:overflowPunct/>
        <w:autoSpaceDE/>
        <w:autoSpaceDN/>
        <w:adjustRightInd/>
        <w:spacing w:after="0"/>
        <w:textAlignment w:val="auto"/>
        <w:rPr>
          <w:rFonts w:hint="default"/>
          <w:b/>
          <w:bCs/>
          <w:i/>
          <w:iCs/>
          <w:szCs w:val="21"/>
          <w:lang w:val="en-US" w:eastAsia="zh-CN"/>
        </w:rPr>
      </w:pPr>
      <w:r>
        <w:rPr>
          <w:rFonts w:hint="eastAsia"/>
          <w:b/>
          <w:bCs/>
          <w:i/>
          <w:iCs/>
          <w:szCs w:val="21"/>
          <w:lang w:val="en-US" w:eastAsia="zh-CN"/>
        </w:rPr>
        <w:t>Proposal 3. Propose to define TDD pattern 30D4S6U demodulation requirements for DL MIMO.</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color w:val="auto"/>
          <w:u w:val="single"/>
          <w:lang w:val="en-US" w:eastAsia="zh-CN"/>
        </w:rPr>
        <w:t>MCS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Option 1: consider MCS 13 and MCS 22</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Option 2: Consider 64QAM</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b/>
                <w:bCs/>
                <w:i/>
                <w:iCs/>
                <w:szCs w:val="21"/>
                <w:vertAlign w:val="baseline"/>
                <w:lang w:val="en-US" w:eastAsia="zh-CN"/>
              </w:rPr>
            </w:pPr>
            <w:r>
              <w:rPr>
                <w:rFonts w:hint="eastAsia" w:eastAsia="宋体" w:cs="Times New Roman"/>
                <w:i w:val="0"/>
                <w:iCs w:val="0"/>
                <w:color w:val="auto"/>
                <w:sz w:val="20"/>
                <w:szCs w:val="20"/>
                <w:lang w:val="en-US" w:eastAsia="zh-CN"/>
              </w:rPr>
              <w:t>Other Options are not precluded</w:t>
            </w:r>
          </w:p>
        </w:tc>
      </w:tr>
    </w:tbl>
    <w:p>
      <w:pPr>
        <w:widowControl w:val="0"/>
        <w:numPr>
          <w:ilvl w:val="0"/>
          <w:numId w:val="0"/>
        </w:numPr>
        <w:overflowPunct/>
        <w:autoSpaceDE/>
        <w:autoSpaceDN/>
        <w:adjustRightInd/>
        <w:spacing w:after="0"/>
        <w:textAlignment w:val="auto"/>
        <w:rPr>
          <w:rFonts w:hint="eastAsia"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We evaluated 16QAM Table 1 MCS13, 64QAM Table 1 MCS 22 and 256QAM Table 2 MCS 24</w:t>
      </w:r>
      <w:r>
        <w:rPr>
          <w:rFonts w:hint="eastAsia" w:cs="Times New Roman"/>
          <w:color w:val="auto"/>
          <w:sz w:val="20"/>
          <w:szCs w:val="20"/>
          <w:lang w:val="en-US" w:eastAsia="zh-CN"/>
        </w:rPr>
        <w:t xml:space="preserve"> with 2T2R, the SNR point of 70% maximum throughput and curves can be found in the following. From our simulation results, MCS 13 and MCS 22 can be tested in the reasonable SNR point, and for 256QAM with MCS 24, the SNR point about 22.76dB, considering additional margin, the SNR could be a little higher. Therefore, we prefer to consider MCS 13 or MCS 22 to define requirements.</w:t>
      </w:r>
    </w:p>
    <w:p>
      <w:pPr>
        <w:widowControl w:val="0"/>
        <w:numPr>
          <w:ilvl w:val="0"/>
          <w:numId w:val="0"/>
        </w:numPr>
        <w:overflowPunct/>
        <w:autoSpaceDE/>
        <w:autoSpaceDN/>
        <w:adjustRightInd/>
        <w:spacing w:after="0"/>
        <w:textAlignment w:val="auto"/>
        <w:rPr>
          <w:rFonts w:hint="default" w:cs="Times New Roman"/>
          <w:color w:val="auto"/>
          <w:sz w:val="20"/>
          <w:szCs w:val="20"/>
          <w:lang w:val="en-US" w:eastAsia="zh-CN"/>
        </w:rPr>
      </w:pPr>
    </w:p>
    <w:p>
      <w:pPr>
        <w:widowControl w:val="0"/>
        <w:numPr>
          <w:ilvl w:val="0"/>
          <w:numId w:val="0"/>
        </w:numPr>
        <w:overflowPunct/>
        <w:autoSpaceDE/>
        <w:autoSpaceDN/>
        <w:adjustRightInd/>
        <w:spacing w:after="0"/>
        <w:jc w:val="center"/>
        <w:textAlignment w:val="auto"/>
        <w:rPr>
          <w:rFonts w:hint="default" w:cs="Times New Roman"/>
          <w:color w:val="auto"/>
          <w:sz w:val="20"/>
          <w:szCs w:val="20"/>
          <w:lang w:val="en-US" w:eastAsia="zh-CN"/>
        </w:rPr>
      </w:pPr>
      <w:r>
        <w:rPr>
          <w:rFonts w:hint="eastAsia" w:cs="Times New Roman"/>
          <w:color w:val="auto"/>
          <w:sz w:val="20"/>
          <w:szCs w:val="20"/>
          <w:lang w:val="en-US" w:eastAsia="zh-CN"/>
        </w:rPr>
        <w:t>Table 1. Simulation results for 2T2R Rank 2</w:t>
      </w:r>
    </w:p>
    <w:tbl>
      <w:tblPr>
        <w:tblStyle w:val="22"/>
        <w:tblW w:w="755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5"/>
        <w:gridCol w:w="1362"/>
        <w:gridCol w:w="1600"/>
        <w:gridCol w:w="1647"/>
        <w:gridCol w:w="16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9" w:hRule="atLeast"/>
          <w:jc w:val="center"/>
        </w:trPr>
        <w:tc>
          <w:tcPr>
            <w:tcW w:w="1295" w:type="dxa"/>
            <w:tcBorders>
              <w:top w:val="single" w:color="000000" w:sz="4" w:space="0"/>
              <w:left w:val="single" w:color="000000" w:sz="4" w:space="0"/>
              <w:bottom w:val="single" w:color="auto" w:sz="4" w:space="0"/>
              <w:right w:val="single" w:color="000000" w:sz="4" w:space="0"/>
            </w:tcBorders>
            <w:shd w:val="clear" w:color="auto" w:fill="BFBFBF"/>
            <w:vAlign w:val="center"/>
          </w:tcPr>
          <w:p>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Propogation condition</w:t>
            </w:r>
          </w:p>
        </w:tc>
        <w:tc>
          <w:tcPr>
            <w:tcW w:w="1362" w:type="dxa"/>
            <w:tcBorders>
              <w:top w:val="single" w:color="000000" w:sz="4" w:space="0"/>
              <w:left w:val="single" w:color="000000" w:sz="4" w:space="0"/>
              <w:bottom w:val="single" w:color="auto"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Antenna configuration</w:t>
            </w:r>
          </w:p>
        </w:tc>
        <w:tc>
          <w:tcPr>
            <w:tcW w:w="160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MCS</w:t>
            </w:r>
          </w:p>
        </w:tc>
        <w:tc>
          <w:tcPr>
            <w:tcW w:w="164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highlight w:val="lightGray"/>
                <w:u w:val="none"/>
                <w:lang w:val="en-US" w:eastAsia="zh-CN" w:bidi="ar"/>
              </w:rPr>
            </w:pPr>
            <w:r>
              <w:rPr>
                <w:rFonts w:hint="eastAsia" w:ascii="Arial" w:hAnsi="Arial" w:eastAsia="宋体" w:cs="Arial"/>
                <w:i w:val="0"/>
                <w:iCs w:val="0"/>
                <w:color w:val="002060"/>
                <w:kern w:val="0"/>
                <w:sz w:val="20"/>
                <w:szCs w:val="20"/>
                <w:highlight w:val="lightGray"/>
                <w:u w:val="none"/>
                <w:lang w:val="en-US" w:eastAsia="zh-CN" w:bidi="ar"/>
              </w:rPr>
              <w:t>Layer</w:t>
            </w:r>
          </w:p>
        </w:tc>
        <w:tc>
          <w:tcPr>
            <w:tcW w:w="1647"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highlight w:val="lightGray"/>
                <w:u w:val="none"/>
                <w:lang w:val="en-US" w:eastAsia="zh-CN" w:bidi="ar"/>
              </w:rPr>
            </w:pPr>
            <w:r>
              <w:rPr>
                <w:rFonts w:hint="eastAsia" w:ascii="Arial" w:hAnsi="Arial" w:eastAsia="宋体" w:cs="Arial"/>
                <w:i w:val="0"/>
                <w:iCs w:val="0"/>
                <w:color w:val="002060"/>
                <w:kern w:val="0"/>
                <w:sz w:val="20"/>
                <w:szCs w:val="20"/>
                <w:highlight w:val="lightGray"/>
                <w:u w:val="none"/>
                <w:lang w:val="en-US" w:eastAsia="zh-CN" w:bidi="ar"/>
              </w:rPr>
              <w:t>SNR</w:t>
            </w:r>
            <w:r>
              <w:rPr>
                <w:rFonts w:hint="eastAsia" w:ascii="Arial" w:hAnsi="Arial" w:cs="Arial"/>
                <w:i w:val="0"/>
                <w:iCs w:val="0"/>
                <w:color w:val="002060"/>
                <w:kern w:val="0"/>
                <w:sz w:val="20"/>
                <w:szCs w:val="20"/>
                <w:highlight w:val="lightGray"/>
                <w:u w:val="none"/>
                <w:lang w:val="en-US" w:eastAsia="zh-CN" w:bidi="ar"/>
              </w:rPr>
              <w:t>(70% Max TP)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jc w:val="center"/>
        </w:trPr>
        <w:tc>
          <w:tcPr>
            <w:tcW w:w="12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lang w:val="en-US"/>
              </w:rPr>
            </w:pPr>
            <w:r>
              <w:rPr>
                <w:rFonts w:hint="default" w:ascii="Arial" w:hAnsi="Arial" w:eastAsia="宋体" w:cs="Arial"/>
                <w:i w:val="0"/>
                <w:iCs w:val="0"/>
                <w:color w:val="002060"/>
                <w:kern w:val="0"/>
                <w:sz w:val="20"/>
                <w:szCs w:val="20"/>
                <w:u w:val="none"/>
                <w:lang w:val="en-US" w:eastAsia="zh-CN" w:bidi="ar"/>
              </w:rPr>
              <w:t>AWGN</w:t>
            </w:r>
            <w:r>
              <w:rPr>
                <w:rFonts w:hint="eastAsia" w:ascii="Arial" w:hAnsi="Arial" w:eastAsia="宋体" w:cs="Arial"/>
                <w:i w:val="0"/>
                <w:iCs w:val="0"/>
                <w:color w:val="002060"/>
                <w:kern w:val="0"/>
                <w:sz w:val="20"/>
                <w:szCs w:val="20"/>
                <w:u w:val="none"/>
                <w:lang w:val="en-US" w:eastAsia="zh-CN" w:bidi="ar"/>
              </w:rPr>
              <w:t>+220Hz</w:t>
            </w:r>
          </w:p>
        </w:tc>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2T2R</w:t>
            </w:r>
          </w:p>
        </w:tc>
        <w:tc>
          <w:tcPr>
            <w:tcW w:w="16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16QAM Table 1 MCS13</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u w:val="none"/>
                <w:lang w:val="en-US" w:eastAsia="zh-CN" w:bidi="ar"/>
              </w:rPr>
            </w:pPr>
            <w:r>
              <w:rPr>
                <w:rFonts w:hint="eastAsia" w:ascii="Arial" w:hAnsi="Arial" w:eastAsia="宋体" w:cs="Arial"/>
                <w:i w:val="0"/>
                <w:iCs w:val="0"/>
                <w:color w:val="002060"/>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 xml:space="preserve">7.41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1295"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default" w:ascii="Arial" w:hAnsi="Arial" w:eastAsia="宋体" w:cs="Arial"/>
                <w:i w:val="0"/>
                <w:iCs w:val="0"/>
                <w:color w:val="002060"/>
                <w:sz w:val="20"/>
                <w:szCs w:val="20"/>
                <w:u w:val="none"/>
              </w:rPr>
            </w:pPr>
          </w:p>
        </w:tc>
        <w:tc>
          <w:tcPr>
            <w:tcW w:w="1362"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default" w:ascii="Arial" w:hAnsi="Arial" w:eastAsia="宋体" w:cs="Arial"/>
                <w:i w:val="0"/>
                <w:iCs w:val="0"/>
                <w:color w:val="002060"/>
                <w:sz w:val="20"/>
                <w:szCs w:val="20"/>
                <w:u w:val="none"/>
              </w:rPr>
            </w:pPr>
          </w:p>
        </w:tc>
        <w:tc>
          <w:tcPr>
            <w:tcW w:w="16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64QAM Table 1 MCS 22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u w:val="none"/>
                <w:lang w:val="en-US" w:eastAsia="zh-CN" w:bidi="ar"/>
              </w:rPr>
            </w:pPr>
            <w:r>
              <w:rPr>
                <w:rFonts w:hint="eastAsia" w:ascii="Arial" w:hAnsi="Arial" w:eastAsia="宋体" w:cs="Arial"/>
                <w:i w:val="0"/>
                <w:iCs w:val="0"/>
                <w:color w:val="002060"/>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sz w:val="20"/>
                <w:szCs w:val="20"/>
                <w:u w:val="none"/>
              </w:rPr>
            </w:pPr>
            <w:r>
              <w:rPr>
                <w:rFonts w:hint="default" w:ascii="Arial" w:hAnsi="Arial" w:eastAsia="宋体" w:cs="Arial"/>
                <w:i w:val="0"/>
                <w:iCs w:val="0"/>
                <w:color w:val="002060"/>
                <w:kern w:val="0"/>
                <w:sz w:val="20"/>
                <w:szCs w:val="20"/>
                <w:u w:val="none"/>
                <w:lang w:val="en-US" w:eastAsia="zh-CN" w:bidi="ar"/>
              </w:rPr>
              <w:t xml:space="preserve">14.87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2" w:hRule="atLeast"/>
          <w:jc w:val="center"/>
        </w:trPr>
        <w:tc>
          <w:tcPr>
            <w:tcW w:w="1295"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default" w:ascii="Arial" w:hAnsi="Arial" w:eastAsia="宋体" w:cs="Arial"/>
                <w:i w:val="0"/>
                <w:iCs w:val="0"/>
                <w:color w:val="002060"/>
                <w:sz w:val="20"/>
                <w:szCs w:val="20"/>
                <w:u w:val="none"/>
              </w:rPr>
            </w:pPr>
          </w:p>
        </w:tc>
        <w:tc>
          <w:tcPr>
            <w:tcW w:w="1362"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default" w:ascii="Arial" w:hAnsi="Arial" w:eastAsia="宋体" w:cs="Arial"/>
                <w:i w:val="0"/>
                <w:iCs w:val="0"/>
                <w:color w:val="002060"/>
                <w:sz w:val="20"/>
                <w:szCs w:val="20"/>
                <w:u w:val="none"/>
              </w:rPr>
            </w:pPr>
          </w:p>
        </w:tc>
        <w:tc>
          <w:tcPr>
            <w:tcW w:w="1600"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u w:val="none"/>
                <w:lang w:val="en-US" w:eastAsia="zh-CN" w:bidi="ar"/>
              </w:rPr>
            </w:pPr>
            <w:r>
              <w:rPr>
                <w:rFonts w:hint="eastAsia" w:ascii="Arial" w:hAnsi="Arial" w:cs="Arial"/>
                <w:i w:val="0"/>
                <w:iCs w:val="0"/>
                <w:color w:val="002060"/>
                <w:kern w:val="0"/>
                <w:sz w:val="20"/>
                <w:szCs w:val="20"/>
                <w:u w:val="none"/>
                <w:lang w:val="en-US" w:eastAsia="zh-CN" w:bidi="ar"/>
              </w:rPr>
              <w:t>256</w:t>
            </w:r>
            <w:r>
              <w:rPr>
                <w:rFonts w:hint="default" w:ascii="Arial" w:hAnsi="Arial" w:eastAsia="宋体" w:cs="Arial"/>
                <w:i w:val="0"/>
                <w:iCs w:val="0"/>
                <w:color w:val="002060"/>
                <w:kern w:val="0"/>
                <w:sz w:val="20"/>
                <w:szCs w:val="20"/>
                <w:u w:val="none"/>
                <w:lang w:val="en-US" w:eastAsia="zh-CN" w:bidi="ar"/>
              </w:rPr>
              <w:t xml:space="preserve">QAM Table </w:t>
            </w:r>
            <w:r>
              <w:rPr>
                <w:rFonts w:hint="eastAsia" w:ascii="Arial" w:hAnsi="Arial" w:cs="Arial"/>
                <w:i w:val="0"/>
                <w:iCs w:val="0"/>
                <w:color w:val="002060"/>
                <w:kern w:val="0"/>
                <w:sz w:val="20"/>
                <w:szCs w:val="20"/>
                <w:u w:val="none"/>
                <w:lang w:val="en-US" w:eastAsia="zh-CN" w:bidi="ar"/>
              </w:rPr>
              <w:t>2</w:t>
            </w:r>
            <w:r>
              <w:rPr>
                <w:rFonts w:hint="default" w:ascii="Arial" w:hAnsi="Arial" w:eastAsia="宋体" w:cs="Arial"/>
                <w:i w:val="0"/>
                <w:iCs w:val="0"/>
                <w:color w:val="002060"/>
                <w:kern w:val="0"/>
                <w:sz w:val="20"/>
                <w:szCs w:val="20"/>
                <w:u w:val="none"/>
                <w:lang w:val="en-US" w:eastAsia="zh-CN" w:bidi="ar"/>
              </w:rPr>
              <w:t xml:space="preserve"> MCS 2</w:t>
            </w:r>
            <w:r>
              <w:rPr>
                <w:rFonts w:hint="eastAsia" w:ascii="Arial" w:hAnsi="Arial" w:cs="Arial"/>
                <w:i w:val="0"/>
                <w:iCs w:val="0"/>
                <w:color w:val="002060"/>
                <w:kern w:val="0"/>
                <w:sz w:val="20"/>
                <w:szCs w:val="20"/>
                <w:u w:val="none"/>
                <w:lang w:val="en-US" w:eastAsia="zh-CN" w:bidi="ar"/>
              </w:rPr>
              <w:t>4</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Arial" w:hAnsi="Arial" w:eastAsia="宋体" w:cs="Arial"/>
                <w:i w:val="0"/>
                <w:iCs w:val="0"/>
                <w:color w:val="002060"/>
                <w:kern w:val="0"/>
                <w:sz w:val="20"/>
                <w:szCs w:val="20"/>
                <w:u w:val="none"/>
                <w:lang w:val="en-US" w:eastAsia="zh-CN" w:bidi="ar"/>
              </w:rPr>
            </w:pPr>
            <w:r>
              <w:rPr>
                <w:rFonts w:hint="eastAsia" w:ascii="Arial" w:hAnsi="Arial" w:eastAsia="宋体" w:cs="Arial"/>
                <w:i w:val="0"/>
                <w:iCs w:val="0"/>
                <w:color w:val="002060"/>
                <w:kern w:val="0"/>
                <w:sz w:val="20"/>
                <w:szCs w:val="20"/>
                <w:u w:val="none"/>
                <w:lang w:val="en-US" w:eastAsia="zh-CN" w:bidi="ar"/>
              </w:rPr>
              <w:t>Rank 2</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i w:val="0"/>
                <w:iCs w:val="0"/>
                <w:color w:val="002060"/>
                <w:kern w:val="0"/>
                <w:sz w:val="20"/>
                <w:szCs w:val="20"/>
                <w:u w:val="none"/>
                <w:lang w:val="en-US" w:eastAsia="zh-CN" w:bidi="ar"/>
              </w:rPr>
            </w:pPr>
            <w:r>
              <w:rPr>
                <w:rFonts w:hint="eastAsia" w:ascii="Arial" w:hAnsi="Arial" w:cs="Arial"/>
                <w:i w:val="0"/>
                <w:iCs w:val="0"/>
                <w:color w:val="002060"/>
                <w:kern w:val="0"/>
                <w:sz w:val="20"/>
                <w:szCs w:val="20"/>
                <w:u w:val="none"/>
                <w:lang w:val="en-US" w:eastAsia="zh-CN" w:bidi="ar"/>
              </w:rPr>
              <w:t>22.76</w:t>
            </w:r>
          </w:p>
        </w:tc>
      </w:tr>
    </w:tbl>
    <w:p>
      <w:pPr>
        <w:widowControl w:val="0"/>
        <w:numPr>
          <w:ilvl w:val="0"/>
          <w:numId w:val="0"/>
        </w:numPr>
        <w:overflowPunct/>
        <w:autoSpaceDE/>
        <w:autoSpaceDN/>
        <w:adjustRightInd/>
        <w:spacing w:after="0"/>
        <w:textAlignment w:val="auto"/>
        <w:rPr>
          <w:rFonts w:hint="eastAsia" w:cs="Times New Roman"/>
          <w:color w:val="auto"/>
          <w:sz w:val="20"/>
          <w:szCs w:val="20"/>
          <w:lang w:val="en-US" w:eastAsia="zh-CN"/>
        </w:rPr>
      </w:pPr>
    </w:p>
    <w:p>
      <w:pPr>
        <w:widowControl w:val="0"/>
        <w:numPr>
          <w:ilvl w:val="0"/>
          <w:numId w:val="0"/>
        </w:numPr>
        <w:overflowPunct/>
        <w:autoSpaceDE/>
        <w:autoSpaceDN/>
        <w:adjustRightInd/>
        <w:spacing w:after="0"/>
        <w:jc w:val="center"/>
        <w:textAlignment w:val="auto"/>
        <w:rPr>
          <w:rFonts w:hint="eastAsia" w:cs="Times New Roman"/>
          <w:color w:val="auto"/>
          <w:sz w:val="20"/>
          <w:szCs w:val="20"/>
          <w:lang w:val="en-US" w:eastAsia="zh-CN"/>
        </w:rPr>
      </w:pPr>
    </w:p>
    <w:p>
      <w:pPr>
        <w:widowControl w:val="0"/>
        <w:numPr>
          <w:ilvl w:val="0"/>
          <w:numId w:val="0"/>
        </w:numPr>
        <w:overflowPunct/>
        <w:autoSpaceDE/>
        <w:autoSpaceDN/>
        <w:adjustRightInd/>
        <w:spacing w:after="0"/>
        <w:jc w:val="center"/>
        <w:textAlignment w:val="auto"/>
        <w:rPr>
          <w:rFonts w:hint="eastAsia" w:cs="Times New Roman"/>
          <w:color w:val="auto"/>
          <w:sz w:val="20"/>
          <w:szCs w:val="20"/>
          <w:lang w:val="en-US" w:eastAsia="zh-CN"/>
        </w:rPr>
      </w:pPr>
      <w:r>
        <w:rPr>
          <w:rFonts w:hint="eastAsia" w:cs="Times New Roman"/>
          <w:color w:val="auto"/>
          <w:sz w:val="20"/>
          <w:szCs w:val="20"/>
          <w:lang w:val="en-US" w:eastAsia="zh-CN"/>
        </w:rPr>
        <w:t>Table 2.  Throughput curves for 2T2R Rank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widowControl w:val="0"/>
              <w:numPr>
                <w:ilvl w:val="0"/>
                <w:numId w:val="0"/>
              </w:numPr>
              <w:overflowPunct/>
              <w:autoSpaceDE/>
              <w:autoSpaceDN/>
              <w:adjustRightInd/>
              <w:spacing w:after="0"/>
              <w:textAlignment w:val="auto"/>
            </w:pPr>
            <w:r>
              <w:drawing>
                <wp:inline distT="0" distB="0" distL="114300" distR="114300">
                  <wp:extent cx="2684145" cy="2117090"/>
                  <wp:effectExtent l="0" t="0" r="13335"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2684145" cy="2117090"/>
                          </a:xfrm>
                          <a:prstGeom prst="rect">
                            <a:avLst/>
                          </a:prstGeom>
                          <a:noFill/>
                          <a:ln>
                            <a:noFill/>
                          </a:ln>
                        </pic:spPr>
                      </pic:pic>
                    </a:graphicData>
                  </a:graphic>
                </wp:inline>
              </w:drawing>
            </w:r>
          </w:p>
          <w:p>
            <w:pPr>
              <w:widowControl w:val="0"/>
              <w:numPr>
                <w:ilvl w:val="0"/>
                <w:numId w:val="0"/>
              </w:numPr>
              <w:overflowPunct/>
              <w:autoSpaceDE/>
              <w:autoSpaceDN/>
              <w:adjustRightInd/>
              <w:spacing w:after="0"/>
              <w:jc w:val="center"/>
              <w:textAlignment w:val="auto"/>
              <w:rPr>
                <w:rFonts w:hint="default" w:eastAsia="宋体"/>
                <w:lang w:val="en-US" w:eastAsia="zh-CN"/>
              </w:rPr>
            </w:pPr>
            <w:r>
              <w:rPr>
                <w:rFonts w:hint="eastAsia"/>
                <w:lang w:val="en-US" w:eastAsia="zh-CN"/>
              </w:rPr>
              <w:t xml:space="preserve">Fig 1. FDD, MCS13, Rank 1 and Rank 2 </w:t>
            </w:r>
          </w:p>
        </w:tc>
        <w:tc>
          <w:tcPr>
            <w:tcW w:w="4938" w:type="dxa"/>
          </w:tcPr>
          <w:p>
            <w:pPr>
              <w:widowControl w:val="0"/>
              <w:numPr>
                <w:ilvl w:val="0"/>
                <w:numId w:val="0"/>
              </w:numPr>
              <w:overflowPunct/>
              <w:autoSpaceDE/>
              <w:autoSpaceDN/>
              <w:adjustRightInd/>
              <w:spacing w:after="0"/>
              <w:textAlignment w:val="auto"/>
            </w:pPr>
            <w:r>
              <w:drawing>
                <wp:inline distT="0" distB="0" distL="114300" distR="114300">
                  <wp:extent cx="2716530" cy="2165985"/>
                  <wp:effectExtent l="0" t="0" r="11430" b="133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3"/>
                          <a:stretch>
                            <a:fillRect/>
                          </a:stretch>
                        </pic:blipFill>
                        <pic:spPr>
                          <a:xfrm>
                            <a:off x="0" y="0"/>
                            <a:ext cx="2716530" cy="2165985"/>
                          </a:xfrm>
                          <a:prstGeom prst="rect">
                            <a:avLst/>
                          </a:prstGeom>
                          <a:noFill/>
                          <a:ln>
                            <a:noFill/>
                          </a:ln>
                        </pic:spPr>
                      </pic:pic>
                    </a:graphicData>
                  </a:graphic>
                </wp:inline>
              </w:drawing>
            </w:r>
          </w:p>
          <w:p>
            <w:pPr>
              <w:widowControl w:val="0"/>
              <w:numPr>
                <w:ilvl w:val="0"/>
                <w:numId w:val="0"/>
              </w:numPr>
              <w:overflowPunct/>
              <w:autoSpaceDE/>
              <w:autoSpaceDN/>
              <w:adjustRightInd/>
              <w:spacing w:after="0"/>
              <w:jc w:val="center"/>
              <w:textAlignment w:val="auto"/>
              <w:rPr>
                <w:rFonts w:hint="eastAsia"/>
                <w:lang w:val="en-US" w:eastAsia="zh-CN"/>
              </w:rPr>
            </w:pPr>
            <w:r>
              <w:rPr>
                <w:rFonts w:hint="eastAsia"/>
                <w:lang w:val="en-US" w:eastAsia="zh-CN"/>
              </w:rPr>
              <w:t>Fig 2. FDD, MCS22, Rank 1 and Rank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widowControl w:val="0"/>
              <w:numPr>
                <w:ilvl w:val="0"/>
                <w:numId w:val="0"/>
              </w:numPr>
              <w:overflowPunct/>
              <w:autoSpaceDE/>
              <w:autoSpaceDN/>
              <w:adjustRightInd/>
              <w:spacing w:after="0"/>
              <w:textAlignment w:val="auto"/>
              <w:rPr>
                <w:rFonts w:hint="eastAsia"/>
                <w:lang w:val="en-US" w:eastAsia="zh-CN"/>
              </w:rPr>
            </w:pPr>
            <w:r>
              <w:rPr>
                <w:rFonts w:hint="eastAsia"/>
                <w:lang w:val="en-US" w:eastAsia="zh-CN"/>
              </w:rPr>
              <w:t xml:space="preserve">    </w:t>
            </w:r>
            <w:r>
              <w:drawing>
                <wp:inline distT="0" distB="0" distL="114300" distR="114300">
                  <wp:extent cx="2888615" cy="2131060"/>
                  <wp:effectExtent l="0" t="0" r="698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888615" cy="2131060"/>
                          </a:xfrm>
                          <a:prstGeom prst="rect">
                            <a:avLst/>
                          </a:prstGeom>
                          <a:noFill/>
                          <a:ln>
                            <a:noFill/>
                          </a:ln>
                        </pic:spPr>
                      </pic:pic>
                    </a:graphicData>
                  </a:graphic>
                </wp:inline>
              </w:drawing>
            </w:r>
          </w:p>
          <w:p>
            <w:pPr>
              <w:widowControl w:val="0"/>
              <w:numPr>
                <w:ilvl w:val="0"/>
                <w:numId w:val="0"/>
              </w:numPr>
              <w:overflowPunct/>
              <w:autoSpaceDE/>
              <w:autoSpaceDN/>
              <w:adjustRightInd/>
              <w:spacing w:after="0"/>
              <w:jc w:val="center"/>
              <w:textAlignment w:val="auto"/>
              <w:rPr>
                <w:rFonts w:hint="eastAsia" w:cs="Times New Roman"/>
                <w:color w:val="auto"/>
                <w:sz w:val="20"/>
                <w:szCs w:val="20"/>
                <w:vertAlign w:val="baseline"/>
                <w:lang w:val="en-US" w:eastAsia="zh-CN"/>
              </w:rPr>
            </w:pPr>
            <w:r>
              <w:rPr>
                <w:rFonts w:hint="eastAsia"/>
                <w:lang w:val="en-US" w:eastAsia="zh-CN"/>
              </w:rPr>
              <w:t>Fig 3. FDD, MCS24, Rank 1 and Rank 2</w:t>
            </w:r>
          </w:p>
        </w:tc>
        <w:tc>
          <w:tcPr>
            <w:tcW w:w="4938" w:type="dxa"/>
          </w:tcPr>
          <w:p>
            <w:pPr>
              <w:widowControl w:val="0"/>
              <w:numPr>
                <w:ilvl w:val="0"/>
                <w:numId w:val="0"/>
              </w:numPr>
              <w:overflowPunct/>
              <w:autoSpaceDE/>
              <w:autoSpaceDN/>
              <w:adjustRightInd/>
              <w:spacing w:after="0"/>
              <w:textAlignment w:val="auto"/>
              <w:rPr>
                <w:rFonts w:hint="eastAsia" w:cs="Times New Roman"/>
                <w:color w:val="auto"/>
                <w:sz w:val="20"/>
                <w:szCs w:val="20"/>
                <w:vertAlign w:val="baseline"/>
                <w:lang w:val="en-US" w:eastAsia="zh-CN"/>
              </w:rPr>
            </w:pPr>
          </w:p>
        </w:tc>
      </w:tr>
    </w:tbl>
    <w:p>
      <w:pPr>
        <w:widowControl w:val="0"/>
        <w:numPr>
          <w:ilvl w:val="0"/>
          <w:numId w:val="0"/>
        </w:numPr>
        <w:overflowPunct/>
        <w:autoSpaceDE/>
        <w:autoSpaceDN/>
        <w:adjustRightInd/>
        <w:spacing w:after="0"/>
        <w:textAlignment w:val="auto"/>
        <w:rPr>
          <w:rFonts w:hint="default" w:cs="Times New Roman"/>
          <w:color w:val="auto"/>
          <w:sz w:val="20"/>
          <w:szCs w:val="20"/>
          <w:lang w:val="en-US" w:eastAsia="zh-CN"/>
        </w:rPr>
      </w:pP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Observation 1. From our simulation results, MCS 13 and MCS 22 can be tested in the reasonable SNR point, and for 256QAM with MCS 24, the SNR point about 22.76dB, considering additional margin, the SNR could be a little higher.</w:t>
      </w:r>
    </w:p>
    <w:p>
      <w:pPr>
        <w:widowControl w:val="0"/>
        <w:numPr>
          <w:ilvl w:val="0"/>
          <w:numId w:val="0"/>
        </w:numPr>
        <w:overflowPunct/>
        <w:autoSpaceDE/>
        <w:autoSpaceDN/>
        <w:adjustRightInd/>
        <w:spacing w:after="0"/>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Proposal 4. Propose to consider MCS 13 or MCS 22 defining demodulation requirements.</w:t>
      </w: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val="0"/>
          <w:iCs w:val="0"/>
          <w:kern w:val="2"/>
          <w:sz w:val="21"/>
          <w:szCs w:val="21"/>
          <w:lang w:val="en-US" w:eastAsia="zh-CN" w:bidi="ar-SA"/>
        </w:rPr>
      </w:pPr>
      <w:r>
        <w:rPr>
          <w:rFonts w:hint="eastAsia" w:cs="Times New Roman"/>
          <w:b/>
          <w:bCs/>
          <w:i w:val="0"/>
          <w:iCs w:val="0"/>
          <w:kern w:val="2"/>
          <w:sz w:val="21"/>
          <w:szCs w:val="21"/>
          <w:lang w:val="en-US" w:eastAsia="zh-CN" w:bidi="ar-SA"/>
        </w:rPr>
        <w:t>UL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val="0"/>
          <w:iCs w:val="0"/>
          <w:kern w:val="2"/>
          <w:sz w:val="21"/>
          <w:szCs w:val="21"/>
          <w:lang w:val="en-US" w:eastAsia="zh-CN" w:bidi="ar-SA"/>
        </w:rPr>
      </w:pPr>
      <w:r>
        <w:rPr>
          <w:rFonts w:hint="eastAsia"/>
          <w:b/>
          <w:color w:val="auto"/>
          <w:u w:val="single"/>
          <w:lang w:val="en-US" w:eastAsia="zh-CN"/>
        </w:rPr>
        <w:t>Antenna configuration for incremental test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szCs w:val="24"/>
                <w:lang w:val="en-US" w:eastAsia="zh-CN"/>
              </w:rPr>
            </w:pPr>
            <w:r>
              <w:rPr>
                <w:rFonts w:hint="eastAsia" w:eastAsia="宋体"/>
                <w:b w:val="0"/>
                <w:bCs w:val="0"/>
                <w:color w:val="auto"/>
                <w:szCs w:val="24"/>
                <w:lang w:val="en-US" w:eastAsia="zh-CN"/>
              </w:rPr>
              <w:t>Option</w:t>
            </w:r>
            <w:r>
              <w:rPr>
                <w:rFonts w:hint="eastAsia" w:eastAsia="宋体"/>
                <w:color w:val="auto"/>
                <w:szCs w:val="24"/>
                <w:lang w:val="en-US" w:eastAsia="zh-CN"/>
              </w:rPr>
              <w:t xml:space="preserve"> </w:t>
            </w:r>
            <w:r>
              <w:rPr>
                <w:rFonts w:eastAsia="宋体"/>
                <w:color w:val="auto"/>
                <w:szCs w:val="24"/>
                <w:lang w:val="en-US" w:eastAsia="zh-CN"/>
              </w:rPr>
              <w:t>1</w:t>
            </w:r>
            <w:r>
              <w:rPr>
                <w:rFonts w:hint="eastAsia" w:eastAsia="宋体"/>
                <w:color w:val="auto"/>
                <w:szCs w:val="24"/>
                <w:lang w:val="en-US" w:eastAsia="zh-CN"/>
              </w:rPr>
              <w:t xml:space="preserve">: </w:t>
            </w:r>
            <w:r>
              <w:rPr>
                <w:rFonts w:hint="eastAsia" w:eastAsia="Yu Mincho"/>
                <w:color w:val="auto"/>
              </w:rPr>
              <w:t>2T2R</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color w:val="auto"/>
                <w:lang w:val="en-US" w:eastAsia="zh-CN"/>
              </w:rPr>
            </w:pPr>
            <w:r>
              <w:rPr>
                <w:rFonts w:hint="eastAsia" w:eastAsia="宋体"/>
                <w:b w:val="0"/>
                <w:bCs w:val="0"/>
                <w:color w:val="auto"/>
                <w:szCs w:val="24"/>
                <w:lang w:val="en-US" w:eastAsia="zh-CN"/>
              </w:rPr>
              <w:t>Option</w:t>
            </w:r>
            <w:r>
              <w:rPr>
                <w:rFonts w:hint="eastAsia" w:eastAsia="宋体"/>
                <w:color w:val="auto"/>
                <w:lang w:val="en-US" w:eastAsia="zh-CN"/>
              </w:rPr>
              <w:t xml:space="preserve"> 2: 2T2R, 2T4R and 2T8R with X-pol low correlation as the starting point</w:t>
            </w:r>
          </w:p>
          <w:p>
            <w:pPr>
              <w:keepNext w:val="0"/>
              <w:keepLines w:val="0"/>
              <w:pageBreakBefore w:val="0"/>
              <w:widowControl/>
              <w:numPr>
                <w:ilvl w:val="0"/>
                <w:numId w:val="9"/>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eastAsiaTheme="minorEastAsia"/>
                <w:sz w:val="21"/>
                <w:szCs w:val="21"/>
                <w:vertAlign w:val="baseline"/>
                <w:lang w:val="en-US" w:eastAsia="zh-CN"/>
              </w:rPr>
            </w:pPr>
            <w:r>
              <w:rPr>
                <w:rFonts w:hint="eastAsia" w:eastAsia="宋体"/>
                <w:b w:val="0"/>
                <w:bCs w:val="0"/>
                <w:color w:val="auto"/>
                <w:szCs w:val="24"/>
                <w:lang w:val="en-US" w:eastAsia="zh-CN"/>
              </w:rPr>
              <w:t>Option</w:t>
            </w:r>
            <w:r>
              <w:rPr>
                <w:rFonts w:hint="eastAsia" w:eastAsia="宋体"/>
                <w:color w:val="auto"/>
                <w:lang w:val="en-US" w:eastAsia="zh-CN"/>
              </w:rPr>
              <w:t xml:space="preserve"> 3: </w:t>
            </w:r>
            <w:r>
              <w:rPr>
                <w:rFonts w:hint="eastAsia" w:eastAsia="宋体"/>
                <w:color w:val="auto"/>
                <w:szCs w:val="24"/>
                <w:lang w:val="en-US" w:eastAsia="zh-CN"/>
              </w:rPr>
              <w:t>2T2R with low correlation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Since the BS is to support ATG feature, it should pass the Rel-15 normal demodulation requirements and dedicated requirements. In order to reduce the incremental test cases, we propose to define one dedicated requirement with antenna configuration.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eastAsiaTheme="minorEastAsia"/>
          <w:sz w:val="21"/>
          <w:szCs w:val="21"/>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5</w:t>
      </w:r>
      <w:r>
        <w:rPr>
          <w:rFonts w:hint="eastAsia" w:ascii="Times New Roman" w:hAnsi="Times New Roman" w:eastAsia="宋体" w:cs="Times New Roman"/>
          <w:b/>
          <w:bCs/>
          <w:i/>
          <w:iCs/>
          <w:kern w:val="2"/>
          <w:sz w:val="21"/>
          <w:szCs w:val="21"/>
          <w:lang w:val="en-US" w:eastAsia="zh-CN" w:bidi="ar-SA"/>
        </w:rPr>
        <w:t>.</w:t>
      </w:r>
      <w:r>
        <w:rPr>
          <w:rFonts w:hint="eastAsia" w:cs="Times New Roman"/>
          <w:b/>
          <w:bCs/>
          <w:i/>
          <w:iCs/>
          <w:kern w:val="2"/>
          <w:sz w:val="21"/>
          <w:szCs w:val="21"/>
          <w:lang w:val="en-US" w:eastAsia="zh-CN" w:bidi="ar-SA"/>
        </w:rPr>
        <w:t xml:space="preserve"> Propose to consider 2T2R antenna configuration to define incremental test.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5"/>
    <w:bookmarkEnd w:id="6"/>
    <w:bookmarkEnd w:id="7"/>
    <w:bookmarkEnd w:id="8"/>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of </w:t>
      </w:r>
      <w:r>
        <w:rPr>
          <w:rFonts w:hint="eastAsia"/>
          <w:bCs/>
          <w:kern w:val="0"/>
          <w:szCs w:val="21"/>
          <w:lang w:val="en-US" w:eastAsia="zh-CN"/>
        </w:rPr>
        <w:t>ATG UE demodulation requirements</w:t>
      </w:r>
      <w:r>
        <w:rPr>
          <w:rFonts w:hint="eastAsia"/>
          <w:bCs/>
          <w:kern w:val="0"/>
          <w:szCs w:val="21"/>
        </w:rPr>
        <w:t>, The conclusions are:</w:t>
      </w:r>
    </w:p>
    <w:p>
      <w:pPr>
        <w:widowControl w:val="0"/>
        <w:numPr>
          <w:ilvl w:val="0"/>
          <w:numId w:val="0"/>
        </w:numPr>
        <w:overflowPunct/>
        <w:autoSpaceDE/>
        <w:autoSpaceDN/>
        <w:adjustRightInd/>
        <w:spacing w:after="0"/>
        <w:textAlignment w:val="auto"/>
        <w:rPr>
          <w:rFonts w:hint="default" w:cs="Times New Roman"/>
          <w:b/>
          <w:bCs/>
          <w:i/>
          <w:iCs/>
          <w:color w:val="auto"/>
          <w:sz w:val="20"/>
          <w:szCs w:val="20"/>
          <w:lang w:val="en-US" w:eastAsia="zh-CN"/>
        </w:rPr>
      </w:pPr>
      <w:r>
        <w:rPr>
          <w:rFonts w:hint="eastAsia" w:cs="Times New Roman"/>
          <w:b/>
          <w:bCs/>
          <w:i/>
          <w:iCs/>
          <w:color w:val="auto"/>
          <w:sz w:val="20"/>
          <w:szCs w:val="20"/>
          <w:lang w:val="en-US" w:eastAsia="zh-CN"/>
        </w:rPr>
        <w:t>Observation 1. From our simulation results, MCS 13 and MCS 22 can be tested in the reasonable SNR point, and for 256QAM with MCS 24, the SNR point about 22.76dB, considering additional margin, the SNR could be a little higher.</w:t>
      </w:r>
    </w:p>
    <w:p>
      <w:pPr>
        <w:widowControl w:val="0"/>
        <w:numPr>
          <w:ilvl w:val="0"/>
          <w:numId w:val="0"/>
        </w:numPr>
        <w:overflowPunct/>
        <w:autoSpaceDE/>
        <w:autoSpaceDN/>
        <w:adjustRightInd/>
        <w:spacing w:after="0"/>
        <w:textAlignment w:val="auto"/>
        <w:rPr>
          <w:rFonts w:hint="eastAsia"/>
          <w:b/>
          <w:color w:val="auto"/>
          <w:u w:val="single"/>
          <w:lang w:val="en-US" w:eastAsia="zh-CN"/>
        </w:rPr>
      </w:pPr>
      <w:r>
        <w:rPr>
          <w:rFonts w:hint="eastAsia"/>
          <w:b/>
          <w:bCs/>
          <w:i/>
          <w:iCs/>
          <w:szCs w:val="21"/>
          <w:lang w:val="en-US" w:eastAsia="zh-CN"/>
        </w:rPr>
        <w:t>Proposal 1. Propose to define TDD pattern 30D4S6U for R-19 enhanced ATG DL CA requirements.</w:t>
      </w:r>
    </w:p>
    <w:p>
      <w:pPr>
        <w:widowControl w:val="0"/>
        <w:numPr>
          <w:ilvl w:val="0"/>
          <w:numId w:val="0"/>
        </w:numPr>
        <w:overflowPunct/>
        <w:autoSpaceDE/>
        <w:autoSpaceDN/>
        <w:adjustRightInd/>
        <w:spacing w:after="0"/>
        <w:textAlignment w:val="auto"/>
        <w:rPr>
          <w:rFonts w:hint="eastAsia"/>
          <w:b/>
          <w:bCs/>
          <w:i/>
          <w:iCs/>
          <w:szCs w:val="21"/>
          <w:lang w:val="en-US" w:eastAsia="zh-CN"/>
        </w:rPr>
      </w:pPr>
      <w:r>
        <w:rPr>
          <w:rFonts w:hint="eastAsia"/>
          <w:b/>
          <w:bCs/>
          <w:i/>
          <w:iCs/>
          <w:szCs w:val="21"/>
          <w:lang w:val="en-US" w:eastAsia="zh-CN"/>
        </w:rPr>
        <w:t>Proposal 2. Propose to only consider Rank 1 for DL CA demodulation requirements.</w:t>
      </w:r>
    </w:p>
    <w:p>
      <w:pPr>
        <w:widowControl w:val="0"/>
        <w:numPr>
          <w:ilvl w:val="0"/>
          <w:numId w:val="0"/>
        </w:numPr>
        <w:overflowPunct/>
        <w:autoSpaceDE/>
        <w:autoSpaceDN/>
        <w:adjustRightInd/>
        <w:spacing w:after="0"/>
        <w:textAlignment w:val="auto"/>
        <w:rPr>
          <w:rFonts w:hint="default"/>
          <w:b/>
          <w:bCs/>
          <w:i/>
          <w:iCs/>
          <w:szCs w:val="21"/>
          <w:lang w:val="en-US" w:eastAsia="zh-CN"/>
        </w:rPr>
      </w:pPr>
      <w:r>
        <w:rPr>
          <w:rFonts w:hint="eastAsia"/>
          <w:b/>
          <w:bCs/>
          <w:i/>
          <w:iCs/>
          <w:szCs w:val="21"/>
          <w:lang w:val="en-US" w:eastAsia="zh-CN"/>
        </w:rPr>
        <w:t>Proposal 3. Propose to define TDD pattern 30D4S6U demodulation requirements for DL MIMO.</w:t>
      </w:r>
    </w:p>
    <w:p>
      <w:pPr>
        <w:widowControl w:val="0"/>
        <w:numPr>
          <w:ilvl w:val="0"/>
          <w:numId w:val="0"/>
        </w:numPr>
        <w:overflowPunct/>
        <w:autoSpaceDE/>
        <w:autoSpaceDN/>
        <w:adjustRightInd/>
        <w:spacing w:after="0"/>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Proposal 4. Propose to consider MCS 13 or MCS 22 defining demodulation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5</w:t>
      </w:r>
      <w:r>
        <w:rPr>
          <w:rFonts w:hint="eastAsia" w:ascii="Times New Roman" w:hAnsi="Times New Roman" w:eastAsia="宋体" w:cs="Times New Roman"/>
          <w:b/>
          <w:bCs/>
          <w:i/>
          <w:iCs/>
          <w:kern w:val="2"/>
          <w:sz w:val="21"/>
          <w:szCs w:val="21"/>
          <w:lang w:val="en-US" w:eastAsia="zh-CN" w:bidi="ar-SA"/>
        </w:rPr>
        <w:t>.</w:t>
      </w:r>
      <w:r>
        <w:rPr>
          <w:rFonts w:hint="eastAsia" w:cs="Times New Roman"/>
          <w:b/>
          <w:bCs/>
          <w:i/>
          <w:iCs/>
          <w:kern w:val="2"/>
          <w:sz w:val="21"/>
          <w:szCs w:val="21"/>
          <w:lang w:val="en-US" w:eastAsia="zh-CN" w:bidi="ar-SA"/>
        </w:rPr>
        <w:t xml:space="preserve"> Propose to consider 2T2R antenna configuration to define incremental test.</w:t>
      </w:r>
    </w:p>
    <w:p>
      <w:pPr>
        <w:widowControl w:val="0"/>
        <w:numPr>
          <w:ilvl w:val="255"/>
          <w:numId w:val="0"/>
        </w:numPr>
        <w:spacing w:beforeLines="0" w:afterLines="0" w:line="240" w:lineRule="auto"/>
        <w:rPr>
          <w:rFonts w:hint="eastAsia"/>
          <w:bCs/>
          <w:kern w:val="0"/>
          <w:szCs w:val="21"/>
        </w:rPr>
      </w:pPr>
    </w:p>
    <w:p>
      <w:pPr>
        <w:widowControl w:val="0"/>
        <w:numPr>
          <w:ilvl w:val="255"/>
          <w:numId w:val="0"/>
        </w:numPr>
        <w:spacing w:beforeLines="0" w:afterLines="0" w:line="240" w:lineRule="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0"/>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RP-243285, Revised WID on Enhancements for Air-to-ground network for NR. CMCC, ZTE Corporation, CATT, Huawei, HiSilicon, Verizon, China Telecom, China Unicom.</w:t>
      </w:r>
    </w:p>
    <w:p>
      <w:pPr>
        <w:pStyle w:val="33"/>
        <w:numPr>
          <w:ilvl w:val="0"/>
          <w:numId w:val="10"/>
        </w:numPr>
        <w:spacing w:afterLines="0" w:line="259" w:lineRule="auto"/>
        <w:ind w:right="-22"/>
        <w:jc w:val="left"/>
        <w:rPr>
          <w:rFonts w:hint="default"/>
          <w:sz w:val="20"/>
          <w:lang w:val="en-US" w:eastAsia="zh-CN"/>
        </w:rPr>
      </w:pPr>
      <w:r>
        <w:rPr>
          <w:rFonts w:hint="default"/>
          <w:sz w:val="20"/>
          <w:lang w:val="en-US" w:eastAsia="zh-CN"/>
        </w:rPr>
        <w:t>R4-2508724</w:t>
      </w:r>
      <w:r>
        <w:rPr>
          <w:rFonts w:hint="eastAsia"/>
          <w:sz w:val="20"/>
          <w:lang w:val="en-US" w:eastAsia="zh-CN"/>
        </w:rPr>
        <w:t>, Way Forward for [115][328] NR_ATG_enh_demod, CMCC.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95D5D0C"/>
    <w:multiLevelType w:val="multilevel"/>
    <w:tmpl w:val="395D5D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3"/>
  </w:num>
  <w:num w:numId="4">
    <w:abstractNumId w:val="6"/>
  </w:num>
  <w:num w:numId="5">
    <w:abstractNumId w:val="1"/>
  </w:num>
  <w:num w:numId="6">
    <w:abstractNumId w:val="0"/>
  </w:num>
  <w:num w:numId="7">
    <w:abstractNumId w:val="5"/>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B14E2"/>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82188"/>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D30CE"/>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2D522C"/>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D3E46"/>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EFC3C02"/>
    <w:rsid w:val="0F0419EB"/>
    <w:rsid w:val="0F103291"/>
    <w:rsid w:val="0F1D498B"/>
    <w:rsid w:val="0F1E5A47"/>
    <w:rsid w:val="0F337178"/>
    <w:rsid w:val="0F357A41"/>
    <w:rsid w:val="0F3B15FC"/>
    <w:rsid w:val="0F41022A"/>
    <w:rsid w:val="0F44590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6F1EB0"/>
    <w:rsid w:val="11722914"/>
    <w:rsid w:val="117B1D6A"/>
    <w:rsid w:val="117C2D9D"/>
    <w:rsid w:val="117C388E"/>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16FC8"/>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2E2506"/>
    <w:rsid w:val="13332F77"/>
    <w:rsid w:val="13334E1C"/>
    <w:rsid w:val="13346EE4"/>
    <w:rsid w:val="13384952"/>
    <w:rsid w:val="1355107F"/>
    <w:rsid w:val="135D4D2E"/>
    <w:rsid w:val="1366378C"/>
    <w:rsid w:val="1366638D"/>
    <w:rsid w:val="13684A09"/>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895EB4"/>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85DAD"/>
    <w:rsid w:val="16FD2447"/>
    <w:rsid w:val="17050E2D"/>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52303C"/>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B0190"/>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B77E18"/>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66D9B"/>
    <w:rsid w:val="21BB49CD"/>
    <w:rsid w:val="21C267BF"/>
    <w:rsid w:val="21CD6BCD"/>
    <w:rsid w:val="21CE6067"/>
    <w:rsid w:val="21CF439A"/>
    <w:rsid w:val="21D57EBD"/>
    <w:rsid w:val="21F00127"/>
    <w:rsid w:val="221D2FA3"/>
    <w:rsid w:val="2226635F"/>
    <w:rsid w:val="222D4F0B"/>
    <w:rsid w:val="223A68A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301531"/>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550B9"/>
    <w:rsid w:val="26942D1C"/>
    <w:rsid w:val="26C472EC"/>
    <w:rsid w:val="26D12FC0"/>
    <w:rsid w:val="26EC491A"/>
    <w:rsid w:val="26ED73E1"/>
    <w:rsid w:val="26F503CD"/>
    <w:rsid w:val="26F673BE"/>
    <w:rsid w:val="27036506"/>
    <w:rsid w:val="27047832"/>
    <w:rsid w:val="2706037D"/>
    <w:rsid w:val="270D152E"/>
    <w:rsid w:val="271820AF"/>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2D64"/>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B9792E"/>
    <w:rsid w:val="28C96C14"/>
    <w:rsid w:val="28D14B05"/>
    <w:rsid w:val="28D97FE8"/>
    <w:rsid w:val="28E138E3"/>
    <w:rsid w:val="28E74216"/>
    <w:rsid w:val="28E87EE4"/>
    <w:rsid w:val="28FE42C1"/>
    <w:rsid w:val="28FF2940"/>
    <w:rsid w:val="2903396A"/>
    <w:rsid w:val="290D4B8B"/>
    <w:rsid w:val="2915217A"/>
    <w:rsid w:val="293320BC"/>
    <w:rsid w:val="29382108"/>
    <w:rsid w:val="293E7CBA"/>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C09FE"/>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BD31EF"/>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5C79"/>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1B68D2"/>
    <w:rsid w:val="33383BC0"/>
    <w:rsid w:val="33540E5D"/>
    <w:rsid w:val="335522A1"/>
    <w:rsid w:val="335A0521"/>
    <w:rsid w:val="335D672E"/>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652C4A"/>
    <w:rsid w:val="3986624F"/>
    <w:rsid w:val="39872512"/>
    <w:rsid w:val="39A602F9"/>
    <w:rsid w:val="39BD45C8"/>
    <w:rsid w:val="39BF1F3E"/>
    <w:rsid w:val="39C2316A"/>
    <w:rsid w:val="39C44028"/>
    <w:rsid w:val="39CA0B65"/>
    <w:rsid w:val="39E643EA"/>
    <w:rsid w:val="39F36281"/>
    <w:rsid w:val="39FA0290"/>
    <w:rsid w:val="39FD376D"/>
    <w:rsid w:val="39FD6C9C"/>
    <w:rsid w:val="3A017ABA"/>
    <w:rsid w:val="3A0224B9"/>
    <w:rsid w:val="3A0B11C1"/>
    <w:rsid w:val="3A16728B"/>
    <w:rsid w:val="3A16794C"/>
    <w:rsid w:val="3A1F6809"/>
    <w:rsid w:val="3A22280D"/>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166F9"/>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BA0E43"/>
    <w:rsid w:val="3DC46444"/>
    <w:rsid w:val="3DD449D5"/>
    <w:rsid w:val="3DED0F96"/>
    <w:rsid w:val="3DF95812"/>
    <w:rsid w:val="3E1D4B24"/>
    <w:rsid w:val="3E3033DA"/>
    <w:rsid w:val="3E372496"/>
    <w:rsid w:val="3E3A04FA"/>
    <w:rsid w:val="3E3D6B96"/>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64519"/>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9303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811BD7"/>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157C72"/>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84BC3"/>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8FC0D52"/>
    <w:rsid w:val="49027758"/>
    <w:rsid w:val="490C020A"/>
    <w:rsid w:val="491B63DF"/>
    <w:rsid w:val="491D63E9"/>
    <w:rsid w:val="492D685E"/>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C6F93"/>
    <w:rsid w:val="4CDF19B6"/>
    <w:rsid w:val="4CE34E9F"/>
    <w:rsid w:val="4CF33E8B"/>
    <w:rsid w:val="4CF52D94"/>
    <w:rsid w:val="4D015C34"/>
    <w:rsid w:val="4D030742"/>
    <w:rsid w:val="4D3A1DE7"/>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563DC"/>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828AF"/>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60B61"/>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5A2DFB"/>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54E20"/>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C5264"/>
    <w:rsid w:val="58EF63EE"/>
    <w:rsid w:val="590317F0"/>
    <w:rsid w:val="59075000"/>
    <w:rsid w:val="590F26CD"/>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AC61E0"/>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A6405"/>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34E2E"/>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35021"/>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81A"/>
    <w:rsid w:val="6ECC3A24"/>
    <w:rsid w:val="6ED86D3E"/>
    <w:rsid w:val="6EE9744F"/>
    <w:rsid w:val="6EEC3F7C"/>
    <w:rsid w:val="6EF3602C"/>
    <w:rsid w:val="6EFE1485"/>
    <w:rsid w:val="6F031F8E"/>
    <w:rsid w:val="6F033BB1"/>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12A5"/>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4F6EB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D77431"/>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D36C65"/>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6149E"/>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2E55CB"/>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ED5F26"/>
    <w:rsid w:val="77F3789A"/>
    <w:rsid w:val="77FA5ED4"/>
    <w:rsid w:val="780326B9"/>
    <w:rsid w:val="780332E5"/>
    <w:rsid w:val="780B2EAA"/>
    <w:rsid w:val="781B197B"/>
    <w:rsid w:val="7833711D"/>
    <w:rsid w:val="783468E2"/>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AF140F6"/>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127EEE"/>
    <w:rsid w:val="7E140B36"/>
    <w:rsid w:val="7E2767EA"/>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54</TotalTime>
  <ScaleCrop>false</ScaleCrop>
  <LinksUpToDate>false</LinksUpToDate>
  <CharactersWithSpaces>7127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2025-08-15T12:26:55Z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3439EE5773584E8A898B9B2BF5D894F7</vt:lpwstr>
  </property>
</Properties>
</file>